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7E0A6F" w14:textId="7C35DB48" w:rsidR="00C42F17" w:rsidRDefault="00B521D9" w:rsidP="00C42F17">
      <w:pPr>
        <w:spacing w:after="0" w:line="240" w:lineRule="auto"/>
        <w:rPr>
          <w:sz w:val="28"/>
          <w:szCs w:val="28"/>
        </w:rPr>
      </w:pPr>
      <w:r>
        <w:rPr>
          <w:sz w:val="28"/>
          <w:szCs w:val="28"/>
        </w:rPr>
        <w:t>Abstract</w:t>
      </w:r>
    </w:p>
    <w:p w14:paraId="392A4115" w14:textId="77777777" w:rsidR="00B521D9" w:rsidRDefault="00B521D9" w:rsidP="00C42F17">
      <w:pPr>
        <w:spacing w:after="0" w:line="240" w:lineRule="auto"/>
        <w:rPr>
          <w:sz w:val="24"/>
          <w:szCs w:val="24"/>
        </w:rPr>
      </w:pPr>
    </w:p>
    <w:p w14:paraId="09CAD0B4" w14:textId="77777777" w:rsidR="00C42F17" w:rsidRDefault="00C42F17" w:rsidP="00C42F17">
      <w:pPr>
        <w:spacing w:after="0" w:line="240" w:lineRule="auto"/>
        <w:rPr>
          <w:sz w:val="24"/>
          <w:szCs w:val="24"/>
        </w:rPr>
      </w:pPr>
      <w:r w:rsidRPr="00C42F17">
        <w:rPr>
          <w:sz w:val="24"/>
          <w:szCs w:val="24"/>
        </w:rPr>
        <w:t>In arid regions like the Southwest, drought conditions force growers to rely on saline subsurface water, which is harmful to plants. Halophytes</w:t>
      </w:r>
      <w:r>
        <w:rPr>
          <w:sz w:val="24"/>
          <w:szCs w:val="24"/>
        </w:rPr>
        <w:t xml:space="preserve"> (</w:t>
      </w:r>
      <w:r w:rsidRPr="00C42F17">
        <w:rPr>
          <w:sz w:val="24"/>
          <w:szCs w:val="24"/>
        </w:rPr>
        <w:t>salt-tolerant plants</w:t>
      </w:r>
      <w:r>
        <w:rPr>
          <w:sz w:val="24"/>
          <w:szCs w:val="24"/>
        </w:rPr>
        <w:t>)</w:t>
      </w:r>
      <w:r w:rsidRPr="00C42F17">
        <w:rPr>
          <w:sz w:val="24"/>
          <w:szCs w:val="24"/>
        </w:rPr>
        <w:t xml:space="preserve"> could be a viable alternative; however, limited data exist on their responses to natural brackish groundwater (BGW) and desalination brine concentrate. Moreover, BGW could be a value-added resource since halophytes produce secondary metabolites such as phenolics and antioxidants that can benefit human health. </w:t>
      </w:r>
    </w:p>
    <w:p w14:paraId="75B0DC0E" w14:textId="77777777" w:rsidR="00C42F17" w:rsidRDefault="00C42F17" w:rsidP="00C42F17">
      <w:pPr>
        <w:spacing w:after="0" w:line="240" w:lineRule="auto"/>
        <w:rPr>
          <w:sz w:val="24"/>
          <w:szCs w:val="24"/>
        </w:rPr>
      </w:pPr>
    </w:p>
    <w:p w14:paraId="47EC83BC" w14:textId="77777777" w:rsidR="00C42F17" w:rsidRDefault="00C42F17" w:rsidP="00C42F17">
      <w:pPr>
        <w:spacing w:after="0" w:line="240" w:lineRule="auto"/>
        <w:rPr>
          <w:sz w:val="24"/>
          <w:szCs w:val="24"/>
        </w:rPr>
      </w:pPr>
      <w:r w:rsidRPr="00C42F17">
        <w:rPr>
          <w:sz w:val="24"/>
          <w:szCs w:val="24"/>
        </w:rPr>
        <w:t xml:space="preserve">This experiment aimed to investigate the biomass, water use efficiency (WUE), ion uptake, total shoot phenolic concentration (TPC), and total shoot antioxidant concentration (TAC) responses of three halophyte species, </w:t>
      </w:r>
      <w:r w:rsidRPr="00C42F17">
        <w:rPr>
          <w:i/>
          <w:iCs/>
          <w:sz w:val="24"/>
          <w:szCs w:val="24"/>
        </w:rPr>
        <w:t xml:space="preserve">Atriplex </w:t>
      </w:r>
      <w:proofErr w:type="spellStart"/>
      <w:r w:rsidRPr="00C42F17">
        <w:rPr>
          <w:i/>
          <w:iCs/>
          <w:sz w:val="24"/>
          <w:szCs w:val="24"/>
        </w:rPr>
        <w:t>canescens</w:t>
      </w:r>
      <w:proofErr w:type="spellEnd"/>
      <w:r w:rsidRPr="00C42F17">
        <w:rPr>
          <w:i/>
          <w:iCs/>
          <w:sz w:val="24"/>
          <w:szCs w:val="24"/>
        </w:rPr>
        <w:t xml:space="preserve"> </w:t>
      </w:r>
      <w:r w:rsidRPr="00C42F17">
        <w:rPr>
          <w:sz w:val="24"/>
          <w:szCs w:val="24"/>
        </w:rPr>
        <w:t>(</w:t>
      </w:r>
      <w:proofErr w:type="spellStart"/>
      <w:r w:rsidRPr="00C42F17">
        <w:rPr>
          <w:sz w:val="24"/>
          <w:szCs w:val="24"/>
        </w:rPr>
        <w:t>Pursh</w:t>
      </w:r>
      <w:proofErr w:type="spellEnd"/>
      <w:r w:rsidRPr="00C42F17">
        <w:rPr>
          <w:sz w:val="24"/>
          <w:szCs w:val="24"/>
        </w:rPr>
        <w:t>) Nutt. (</w:t>
      </w:r>
      <w:proofErr w:type="spellStart"/>
      <w:proofErr w:type="gramStart"/>
      <w:r w:rsidRPr="00C42F17">
        <w:rPr>
          <w:sz w:val="24"/>
          <w:szCs w:val="24"/>
        </w:rPr>
        <w:t>fourwing</w:t>
      </w:r>
      <w:proofErr w:type="spellEnd"/>
      <w:proofErr w:type="gramEnd"/>
      <w:r w:rsidRPr="00C42F17">
        <w:rPr>
          <w:sz w:val="24"/>
          <w:szCs w:val="24"/>
        </w:rPr>
        <w:t xml:space="preserve"> saltbush), </w:t>
      </w:r>
      <w:r w:rsidRPr="00C42F17">
        <w:rPr>
          <w:i/>
          <w:iCs/>
          <w:sz w:val="24"/>
          <w:szCs w:val="24"/>
        </w:rPr>
        <w:t xml:space="preserve">A. </w:t>
      </w:r>
      <w:proofErr w:type="spellStart"/>
      <w:r w:rsidRPr="00C42F17">
        <w:rPr>
          <w:i/>
          <w:iCs/>
          <w:sz w:val="24"/>
          <w:szCs w:val="24"/>
        </w:rPr>
        <w:t>lentiformis</w:t>
      </w:r>
      <w:proofErr w:type="spellEnd"/>
      <w:r w:rsidRPr="00C42F17">
        <w:rPr>
          <w:i/>
          <w:iCs/>
          <w:sz w:val="24"/>
          <w:szCs w:val="24"/>
        </w:rPr>
        <w:t xml:space="preserve"> </w:t>
      </w:r>
      <w:r w:rsidRPr="00C42F17">
        <w:rPr>
          <w:sz w:val="24"/>
          <w:szCs w:val="24"/>
        </w:rPr>
        <w:t xml:space="preserve">(Torr.) S. Watson (big saltbush), and </w:t>
      </w:r>
      <w:r w:rsidRPr="00C42F17">
        <w:rPr>
          <w:i/>
          <w:iCs/>
          <w:sz w:val="24"/>
          <w:szCs w:val="24"/>
        </w:rPr>
        <w:t xml:space="preserve">Lepidium </w:t>
      </w:r>
      <w:proofErr w:type="spellStart"/>
      <w:r w:rsidRPr="00C42F17">
        <w:rPr>
          <w:i/>
          <w:iCs/>
          <w:sz w:val="24"/>
          <w:szCs w:val="24"/>
        </w:rPr>
        <w:t>alyssoides</w:t>
      </w:r>
      <w:proofErr w:type="spellEnd"/>
      <w:r w:rsidRPr="00C42F17">
        <w:rPr>
          <w:i/>
          <w:iCs/>
          <w:sz w:val="24"/>
          <w:szCs w:val="24"/>
        </w:rPr>
        <w:t xml:space="preserve"> </w:t>
      </w:r>
      <w:r w:rsidRPr="00C42F17">
        <w:rPr>
          <w:sz w:val="24"/>
          <w:szCs w:val="24"/>
        </w:rPr>
        <w:t xml:space="preserve">A. Gray var. </w:t>
      </w:r>
      <w:proofErr w:type="spellStart"/>
      <w:r w:rsidRPr="00C42F17">
        <w:rPr>
          <w:i/>
          <w:iCs/>
          <w:sz w:val="24"/>
          <w:szCs w:val="24"/>
        </w:rPr>
        <w:t>alyssoides</w:t>
      </w:r>
      <w:proofErr w:type="spellEnd"/>
      <w:r w:rsidRPr="00C42F17">
        <w:rPr>
          <w:sz w:val="24"/>
          <w:szCs w:val="24"/>
        </w:rPr>
        <w:t xml:space="preserve"> (mesa pepperwort), grown in a </w:t>
      </w:r>
      <w:proofErr w:type="spellStart"/>
      <w:r w:rsidRPr="00C42F17">
        <w:rPr>
          <w:sz w:val="24"/>
          <w:szCs w:val="24"/>
        </w:rPr>
        <w:t>nonsaline</w:t>
      </w:r>
      <w:proofErr w:type="spellEnd"/>
      <w:r w:rsidRPr="00C42F17">
        <w:rPr>
          <w:sz w:val="24"/>
          <w:szCs w:val="24"/>
        </w:rPr>
        <w:t xml:space="preserve"> control treatment (EC = 0.6 </w:t>
      </w:r>
      <w:proofErr w:type="spellStart"/>
      <w:r w:rsidRPr="00C42F17">
        <w:rPr>
          <w:sz w:val="24"/>
          <w:szCs w:val="24"/>
        </w:rPr>
        <w:t>dS</w:t>
      </w:r>
      <w:proofErr w:type="spellEnd"/>
      <w:r w:rsidRPr="00C42F17">
        <w:rPr>
          <w:sz w:val="24"/>
          <w:szCs w:val="24"/>
        </w:rPr>
        <w:t xml:space="preserve"> m</w:t>
      </w:r>
      <w:r w:rsidRPr="00C42F17">
        <w:rPr>
          <w:sz w:val="24"/>
          <w:szCs w:val="24"/>
          <w:vertAlign w:val="superscript"/>
        </w:rPr>
        <w:t>-1</w:t>
      </w:r>
      <w:r w:rsidRPr="00C42F17">
        <w:rPr>
          <w:sz w:val="24"/>
          <w:szCs w:val="24"/>
        </w:rPr>
        <w:t xml:space="preserve">), BGW CaSO4-dominated water (EC = 4 </w:t>
      </w:r>
      <w:proofErr w:type="spellStart"/>
      <w:r w:rsidRPr="00C42F17">
        <w:rPr>
          <w:sz w:val="24"/>
          <w:szCs w:val="24"/>
        </w:rPr>
        <w:t>dS</w:t>
      </w:r>
      <w:proofErr w:type="spellEnd"/>
      <w:r w:rsidRPr="00C42F17">
        <w:rPr>
          <w:sz w:val="24"/>
          <w:szCs w:val="24"/>
        </w:rPr>
        <w:t xml:space="preserve"> m</w:t>
      </w:r>
      <w:r w:rsidRPr="00C42F17">
        <w:rPr>
          <w:sz w:val="24"/>
          <w:szCs w:val="24"/>
          <w:vertAlign w:val="superscript"/>
        </w:rPr>
        <w:t>-</w:t>
      </w:r>
      <w:r w:rsidRPr="00C42F17">
        <w:rPr>
          <w:sz w:val="24"/>
          <w:szCs w:val="24"/>
        </w:rPr>
        <w:t xml:space="preserve">1), desalination brine concentrate (EC = 8 </w:t>
      </w:r>
      <w:proofErr w:type="spellStart"/>
      <w:r w:rsidRPr="00C42F17">
        <w:rPr>
          <w:sz w:val="24"/>
          <w:szCs w:val="24"/>
        </w:rPr>
        <w:t>dS</w:t>
      </w:r>
      <w:proofErr w:type="spellEnd"/>
      <w:r w:rsidRPr="00C42F17">
        <w:rPr>
          <w:sz w:val="24"/>
          <w:szCs w:val="24"/>
        </w:rPr>
        <w:t xml:space="preserve"> m</w:t>
      </w:r>
      <w:r w:rsidRPr="00C42F17">
        <w:rPr>
          <w:sz w:val="24"/>
          <w:szCs w:val="24"/>
          <w:vertAlign w:val="superscript"/>
        </w:rPr>
        <w:t>-1</w:t>
      </w:r>
      <w:r w:rsidRPr="00C42F17">
        <w:rPr>
          <w:sz w:val="24"/>
          <w:szCs w:val="24"/>
        </w:rPr>
        <w:t xml:space="preserve">), NaCl counterpart solutions (EC = 4 or 8 </w:t>
      </w:r>
      <w:proofErr w:type="spellStart"/>
      <w:r w:rsidRPr="00C42F17">
        <w:rPr>
          <w:sz w:val="24"/>
          <w:szCs w:val="24"/>
        </w:rPr>
        <w:t>dS</w:t>
      </w:r>
      <w:proofErr w:type="spellEnd"/>
      <w:r w:rsidRPr="00C42F17">
        <w:rPr>
          <w:sz w:val="24"/>
          <w:szCs w:val="24"/>
        </w:rPr>
        <w:t xml:space="preserve"> m</w:t>
      </w:r>
      <w:r w:rsidRPr="00C42F17">
        <w:rPr>
          <w:sz w:val="24"/>
          <w:szCs w:val="24"/>
          <w:vertAlign w:val="superscript"/>
        </w:rPr>
        <w:t>-1</w:t>
      </w:r>
      <w:r w:rsidRPr="00C42F17">
        <w:rPr>
          <w:sz w:val="24"/>
          <w:szCs w:val="24"/>
        </w:rPr>
        <w:t xml:space="preserve">), and a 300 mM NaCl solution (EC = 30 </w:t>
      </w:r>
      <w:proofErr w:type="spellStart"/>
      <w:r w:rsidRPr="00C42F17">
        <w:rPr>
          <w:sz w:val="24"/>
          <w:szCs w:val="24"/>
        </w:rPr>
        <w:t>dS</w:t>
      </w:r>
      <w:proofErr w:type="spellEnd"/>
      <w:r w:rsidRPr="00C42F17">
        <w:rPr>
          <w:sz w:val="24"/>
          <w:szCs w:val="24"/>
        </w:rPr>
        <w:t xml:space="preserve"> m</w:t>
      </w:r>
      <w:r w:rsidRPr="00C42F17">
        <w:rPr>
          <w:sz w:val="24"/>
          <w:szCs w:val="24"/>
          <w:vertAlign w:val="superscript"/>
        </w:rPr>
        <w:t>-1</w:t>
      </w:r>
      <w:r w:rsidRPr="00C42F17">
        <w:rPr>
          <w:sz w:val="24"/>
          <w:szCs w:val="24"/>
        </w:rPr>
        <w:t xml:space="preserve">). Plants were seeded approximately 6 </w:t>
      </w:r>
      <w:proofErr w:type="spellStart"/>
      <w:r w:rsidRPr="00C42F17">
        <w:rPr>
          <w:sz w:val="24"/>
          <w:szCs w:val="24"/>
        </w:rPr>
        <w:t>wk</w:t>
      </w:r>
      <w:proofErr w:type="spellEnd"/>
      <w:r w:rsidRPr="00C42F17">
        <w:rPr>
          <w:sz w:val="24"/>
          <w:szCs w:val="24"/>
        </w:rPr>
        <w:t xml:space="preserve"> before saline irrigation. Harvest occurred after 0-wk, 3-wk, and 6-wk of saline irrigation. </w:t>
      </w:r>
    </w:p>
    <w:p w14:paraId="63CB27ED" w14:textId="77777777" w:rsidR="00C42F17" w:rsidRDefault="00C42F17" w:rsidP="00C42F17">
      <w:pPr>
        <w:spacing w:after="0" w:line="240" w:lineRule="auto"/>
        <w:rPr>
          <w:sz w:val="24"/>
          <w:szCs w:val="24"/>
        </w:rPr>
      </w:pPr>
    </w:p>
    <w:p w14:paraId="1BA8F0A9" w14:textId="5811C3E5" w:rsidR="00C42F17" w:rsidRDefault="00C42F17" w:rsidP="00C42F17">
      <w:pPr>
        <w:spacing w:after="0" w:line="240" w:lineRule="auto"/>
        <w:rPr>
          <w:sz w:val="24"/>
          <w:szCs w:val="24"/>
        </w:rPr>
      </w:pPr>
      <w:r w:rsidRPr="00C42F17">
        <w:rPr>
          <w:sz w:val="24"/>
          <w:szCs w:val="24"/>
        </w:rPr>
        <w:t xml:space="preserve">The results showed that BGW and low NaCl caused </w:t>
      </w:r>
      <w:r w:rsidRPr="00C42F17">
        <w:rPr>
          <w:i/>
          <w:iCs/>
          <w:sz w:val="24"/>
          <w:szCs w:val="24"/>
        </w:rPr>
        <w:t xml:space="preserve">A. </w:t>
      </w:r>
      <w:proofErr w:type="spellStart"/>
      <w:r w:rsidRPr="00C42F17">
        <w:rPr>
          <w:i/>
          <w:iCs/>
          <w:sz w:val="24"/>
          <w:szCs w:val="24"/>
        </w:rPr>
        <w:t>lentiformis</w:t>
      </w:r>
      <w:proofErr w:type="spellEnd"/>
      <w:r w:rsidRPr="00C42F17">
        <w:rPr>
          <w:sz w:val="24"/>
          <w:szCs w:val="24"/>
        </w:rPr>
        <w:t xml:space="preserve"> to increase biomass; </w:t>
      </w:r>
      <w:r w:rsidRPr="00C42F17">
        <w:rPr>
          <w:i/>
          <w:iCs/>
          <w:sz w:val="24"/>
          <w:szCs w:val="24"/>
        </w:rPr>
        <w:t xml:space="preserve">A. </w:t>
      </w:r>
      <w:proofErr w:type="spellStart"/>
      <w:r w:rsidRPr="00C42F17">
        <w:rPr>
          <w:i/>
          <w:iCs/>
          <w:sz w:val="24"/>
          <w:szCs w:val="24"/>
        </w:rPr>
        <w:t>canescens</w:t>
      </w:r>
      <w:proofErr w:type="spellEnd"/>
      <w:r w:rsidRPr="00C42F17">
        <w:rPr>
          <w:sz w:val="24"/>
          <w:szCs w:val="24"/>
        </w:rPr>
        <w:t xml:space="preserve"> biomass was unaffected by salinity, and </w:t>
      </w:r>
      <w:r w:rsidRPr="00C42F17">
        <w:rPr>
          <w:i/>
          <w:iCs/>
          <w:sz w:val="24"/>
          <w:szCs w:val="24"/>
        </w:rPr>
        <w:t xml:space="preserve">L. </w:t>
      </w:r>
      <w:proofErr w:type="spellStart"/>
      <w:r w:rsidRPr="00C42F17">
        <w:rPr>
          <w:i/>
          <w:iCs/>
          <w:sz w:val="24"/>
          <w:szCs w:val="24"/>
        </w:rPr>
        <w:t>alyssoides</w:t>
      </w:r>
      <w:proofErr w:type="spellEnd"/>
      <w:r w:rsidRPr="00C42F17">
        <w:rPr>
          <w:sz w:val="24"/>
          <w:szCs w:val="24"/>
        </w:rPr>
        <w:t xml:space="preserve"> biomass declined with increased salinity. WUE increased with salinity in the </w:t>
      </w:r>
      <w:r w:rsidRPr="00C42F17">
        <w:rPr>
          <w:i/>
          <w:iCs/>
          <w:sz w:val="24"/>
          <w:szCs w:val="24"/>
        </w:rPr>
        <w:t>Atriplex</w:t>
      </w:r>
      <w:r w:rsidRPr="00C42F17">
        <w:rPr>
          <w:sz w:val="24"/>
          <w:szCs w:val="24"/>
        </w:rPr>
        <w:t xml:space="preserve"> sp</w:t>
      </w:r>
      <w:r>
        <w:rPr>
          <w:sz w:val="24"/>
          <w:szCs w:val="24"/>
        </w:rPr>
        <w:t>p.</w:t>
      </w:r>
      <w:r w:rsidRPr="00C42F17">
        <w:rPr>
          <w:sz w:val="24"/>
          <w:szCs w:val="24"/>
        </w:rPr>
        <w:t xml:space="preserve"> </w:t>
      </w:r>
      <w:r>
        <w:rPr>
          <w:sz w:val="24"/>
          <w:szCs w:val="24"/>
        </w:rPr>
        <w:t xml:space="preserve">but not </w:t>
      </w:r>
      <w:r w:rsidRPr="00C42F17">
        <w:rPr>
          <w:sz w:val="24"/>
          <w:szCs w:val="24"/>
        </w:rPr>
        <w:t xml:space="preserve">in </w:t>
      </w:r>
      <w:r w:rsidRPr="00C42F17">
        <w:rPr>
          <w:i/>
          <w:iCs/>
          <w:sz w:val="24"/>
          <w:szCs w:val="24"/>
        </w:rPr>
        <w:t xml:space="preserve">L. </w:t>
      </w:r>
      <w:proofErr w:type="spellStart"/>
      <w:r w:rsidRPr="00C42F17">
        <w:rPr>
          <w:i/>
          <w:iCs/>
          <w:sz w:val="24"/>
          <w:szCs w:val="24"/>
        </w:rPr>
        <w:t>alyssoides</w:t>
      </w:r>
      <w:proofErr w:type="spellEnd"/>
      <w:r w:rsidRPr="00C42F17">
        <w:rPr>
          <w:sz w:val="24"/>
          <w:szCs w:val="24"/>
        </w:rPr>
        <w:t>. The halophytes' similar behavior with NaCl and CaSO</w:t>
      </w:r>
      <w:r w:rsidRPr="00C42F17">
        <w:rPr>
          <w:sz w:val="24"/>
          <w:szCs w:val="24"/>
          <w:vertAlign w:val="subscript"/>
        </w:rPr>
        <w:t>4</w:t>
      </w:r>
      <w:r w:rsidRPr="00C42F17">
        <w:rPr>
          <w:sz w:val="24"/>
          <w:szCs w:val="24"/>
        </w:rPr>
        <w:t>-BGW solutions suggest</w:t>
      </w:r>
      <w:r>
        <w:rPr>
          <w:sz w:val="24"/>
          <w:szCs w:val="24"/>
        </w:rPr>
        <w:t>s</w:t>
      </w:r>
      <w:r w:rsidRPr="00C42F17">
        <w:rPr>
          <w:sz w:val="24"/>
          <w:szCs w:val="24"/>
        </w:rPr>
        <w:t xml:space="preserve"> that total salinity was a dominant factor in their salinity responses. However, the irrigation solutions did not affect the halophytes' TPC or TAC, even at 300 mM NaCl. A supplemental </w:t>
      </w:r>
      <w:r w:rsidR="00A75A3B">
        <w:rPr>
          <w:sz w:val="24"/>
          <w:szCs w:val="24"/>
        </w:rPr>
        <w:t>1</w:t>
      </w:r>
      <w:r w:rsidRPr="00C42F17">
        <w:rPr>
          <w:sz w:val="24"/>
          <w:szCs w:val="24"/>
        </w:rPr>
        <w:t xml:space="preserve">5-day study with desalination brine concentrate and high NaCl (8 </w:t>
      </w:r>
      <w:proofErr w:type="spellStart"/>
      <w:r w:rsidRPr="00C42F17">
        <w:rPr>
          <w:sz w:val="24"/>
          <w:szCs w:val="24"/>
        </w:rPr>
        <w:t>dS</w:t>
      </w:r>
      <w:proofErr w:type="spellEnd"/>
      <w:r w:rsidRPr="00C42F17">
        <w:rPr>
          <w:sz w:val="24"/>
          <w:szCs w:val="24"/>
        </w:rPr>
        <w:t xml:space="preserve"> m</w:t>
      </w:r>
      <w:r w:rsidRPr="00C42F17">
        <w:rPr>
          <w:sz w:val="24"/>
          <w:szCs w:val="24"/>
          <w:vertAlign w:val="superscript"/>
        </w:rPr>
        <w:t>-1</w:t>
      </w:r>
      <w:r w:rsidRPr="00C42F17">
        <w:rPr>
          <w:sz w:val="24"/>
          <w:szCs w:val="24"/>
        </w:rPr>
        <w:t xml:space="preserve">) was conducted on Swiss chard (a halophyte) and leaf lettuce (a non-halophyte) to compare the effects of salinity stress (long-term exposure and acclimation to salt) and salinity shock (rapid onset of salinity before harvest). Results indicated that salinity stress increased TPC in leaf lettuce as expected, but not in Swiss chard. Salt shock increased TPC in Swiss chard, suggesting a potential to improve product quality in this halophyte. </w:t>
      </w:r>
    </w:p>
    <w:p w14:paraId="1F186AC7" w14:textId="77777777" w:rsidR="00C42F17" w:rsidRDefault="00C42F17" w:rsidP="00C42F17">
      <w:pPr>
        <w:spacing w:after="0" w:line="240" w:lineRule="auto"/>
        <w:rPr>
          <w:sz w:val="24"/>
          <w:szCs w:val="24"/>
        </w:rPr>
      </w:pPr>
    </w:p>
    <w:p w14:paraId="318902EE" w14:textId="3B254016" w:rsidR="00C42F17" w:rsidRDefault="00C42F17" w:rsidP="00C42F17">
      <w:pPr>
        <w:spacing w:after="0" w:line="240" w:lineRule="auto"/>
        <w:rPr>
          <w:sz w:val="24"/>
          <w:szCs w:val="24"/>
        </w:rPr>
      </w:pPr>
      <w:r w:rsidRPr="00C42F17">
        <w:rPr>
          <w:sz w:val="24"/>
          <w:szCs w:val="24"/>
        </w:rPr>
        <w:t>The study indicates that diverse saline water sources can improve plant nutritional quality. Further research is needed to test salt shock effects on TPC in other halophytes to increase product quality. The study highlights the possibility of using BGW as a value-added resource for halophyte cultivation in arid regions, contributing to water conservation and sustainability in agriculture.</w:t>
      </w:r>
    </w:p>
    <w:p w14:paraId="3851622A" w14:textId="77777777" w:rsidR="00C42F17" w:rsidRPr="00F820E0" w:rsidRDefault="00C42F17" w:rsidP="00C42F17">
      <w:pPr>
        <w:spacing w:after="0" w:line="240" w:lineRule="auto"/>
        <w:rPr>
          <w:sz w:val="24"/>
          <w:szCs w:val="24"/>
        </w:rPr>
      </w:pPr>
    </w:p>
    <w:sectPr w:rsidR="00C42F17" w:rsidRPr="00F820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0E0"/>
    <w:rsid w:val="00A75A3B"/>
    <w:rsid w:val="00B521D9"/>
    <w:rsid w:val="00C42F17"/>
    <w:rsid w:val="00EB7388"/>
    <w:rsid w:val="00F820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FEC5"/>
  <w15:chartTrackingRefBased/>
  <w15:docId w15:val="{1E950C93-F945-4CF8-B1A2-4F1DE96ED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401</Words>
  <Characters>2291</Characters>
  <Application>Microsoft Office Word</Application>
  <DocSecurity>0</DocSecurity>
  <Lines>19</Lines>
  <Paragraphs>5</Paragraphs>
  <ScaleCrop>false</ScaleCrop>
  <Company>ACES</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 Picchioni</dc:creator>
  <cp:keywords/>
  <dc:description/>
  <cp:lastModifiedBy>Geno Picchioni</cp:lastModifiedBy>
  <cp:revision>2</cp:revision>
  <dcterms:created xsi:type="dcterms:W3CDTF">2023-06-16T16:10:00Z</dcterms:created>
  <dcterms:modified xsi:type="dcterms:W3CDTF">2023-06-16T16:10:00Z</dcterms:modified>
</cp:coreProperties>
</file>